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221FDD">
      <w:pPr>
        <w:adjustRightInd w:val="0"/>
        <w:snapToGrid w:val="0"/>
        <w:spacing w:line="720" w:lineRule="exact"/>
        <w:ind w:firstLine="0" w:firstLineChars="0"/>
        <w:jc w:val="left"/>
        <w:rPr>
          <w:rFonts w:ascii="Times New Roman" w:hAnsi="Times New Roman" w:eastAsia="黑体" w:cs="Times New Roman"/>
          <w:szCs w:val="32"/>
        </w:rPr>
      </w:pPr>
      <w:r>
        <w:rPr>
          <w:rFonts w:ascii="Times New Roman" w:hAnsi="Times New Roman" w:eastAsia="黑体" w:cs="Times New Roman"/>
          <w:szCs w:val="32"/>
        </w:rPr>
        <w:t>附件2</w:t>
      </w:r>
      <w:bookmarkStart w:id="13" w:name="_GoBack"/>
      <w:bookmarkEnd w:id="13"/>
    </w:p>
    <w:p w14:paraId="7BC1077D">
      <w:pPr>
        <w:spacing w:line="560" w:lineRule="exact"/>
        <w:jc w:val="center"/>
        <w:rPr>
          <w:rFonts w:ascii="Times New Roman" w:hAnsi="Times New Roman" w:eastAsia="方正公文小标宋" w:cs="Times New Roman"/>
          <w:sz w:val="44"/>
          <w:szCs w:val="36"/>
        </w:rPr>
      </w:pPr>
    </w:p>
    <w:p w14:paraId="19A10FE6">
      <w:pPr>
        <w:spacing w:line="560" w:lineRule="exact"/>
        <w:jc w:val="center"/>
        <w:rPr>
          <w:rFonts w:ascii="Times New Roman" w:hAnsi="Times New Roman" w:eastAsia="方正公文小标宋" w:cs="Times New Roman"/>
          <w:sz w:val="44"/>
          <w:szCs w:val="36"/>
        </w:rPr>
      </w:pPr>
    </w:p>
    <w:p w14:paraId="62AD9232">
      <w:pPr>
        <w:spacing w:line="560" w:lineRule="exact"/>
        <w:jc w:val="center"/>
        <w:rPr>
          <w:rFonts w:ascii="Times New Roman" w:hAnsi="Times New Roman" w:eastAsia="方正公文小标宋" w:cs="Times New Roman"/>
          <w:sz w:val="44"/>
          <w:szCs w:val="36"/>
        </w:rPr>
      </w:pPr>
    </w:p>
    <w:p w14:paraId="39522988">
      <w:pPr>
        <w:ind w:firstLine="0" w:firstLineChars="0"/>
        <w:jc w:val="center"/>
        <w:rPr>
          <w:rFonts w:hint="eastAsia"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广州市建筑业联合会团体标准</w:t>
      </w:r>
    </w:p>
    <w:p w14:paraId="42D3E755">
      <w:pPr>
        <w:ind w:firstLine="0" w:firstLineChars="0"/>
        <w:jc w:val="center"/>
        <w:rPr>
          <w:rFonts w:hint="eastAsia"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《钢-混凝土组合模块化建筑技术规程》</w:t>
      </w:r>
    </w:p>
    <w:p w14:paraId="6D3445AA">
      <w:pPr>
        <w:spacing w:line="560" w:lineRule="exact"/>
        <w:jc w:val="center"/>
        <w:rPr>
          <w:rFonts w:hint="eastAsia" w:ascii="方正小标宋简体" w:hAnsi="Times New Roman" w:eastAsia="方正小标宋简体" w:cs="Times New Roman"/>
          <w:sz w:val="44"/>
          <w:szCs w:val="44"/>
        </w:rPr>
      </w:pPr>
    </w:p>
    <w:p w14:paraId="76D2FF86">
      <w:pPr>
        <w:spacing w:line="560" w:lineRule="exact"/>
        <w:jc w:val="center"/>
        <w:rPr>
          <w:rFonts w:hint="eastAsia" w:ascii="方正小标宋简体" w:hAnsi="Times New Roman" w:eastAsia="方正小标宋简体" w:cs="Times New Roman"/>
          <w:sz w:val="44"/>
          <w:szCs w:val="44"/>
        </w:rPr>
      </w:pPr>
    </w:p>
    <w:p w14:paraId="6DE0819D">
      <w:pPr>
        <w:spacing w:line="560" w:lineRule="exact"/>
        <w:jc w:val="center"/>
        <w:rPr>
          <w:rFonts w:hint="eastAsia" w:ascii="方正小标宋简体" w:hAnsi="Times New Roman" w:eastAsia="方正小标宋简体" w:cs="Times New Roman"/>
          <w:sz w:val="44"/>
          <w:szCs w:val="44"/>
        </w:rPr>
      </w:pPr>
    </w:p>
    <w:p w14:paraId="3AA7E586">
      <w:pPr>
        <w:ind w:firstLine="0" w:firstLineChars="0"/>
        <w:jc w:val="center"/>
        <w:rPr>
          <w:rFonts w:hint="eastAsia"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编制说明</w:t>
      </w:r>
    </w:p>
    <w:p w14:paraId="7AA913F3">
      <w:pPr>
        <w:spacing w:line="560" w:lineRule="exact"/>
        <w:jc w:val="center"/>
        <w:rPr>
          <w:rFonts w:ascii="Times New Roman" w:hAnsi="Times New Roman" w:eastAsia="方正公文小标宋" w:cs="Times New Roman"/>
          <w:sz w:val="44"/>
          <w:szCs w:val="36"/>
        </w:rPr>
      </w:pPr>
    </w:p>
    <w:p w14:paraId="3ADC7F30">
      <w:pPr>
        <w:spacing w:line="560" w:lineRule="exact"/>
        <w:jc w:val="center"/>
        <w:rPr>
          <w:rFonts w:ascii="Times New Roman" w:hAnsi="Times New Roman" w:eastAsia="方正公文小标宋" w:cs="Times New Roman"/>
          <w:sz w:val="44"/>
          <w:szCs w:val="36"/>
        </w:rPr>
      </w:pPr>
    </w:p>
    <w:p w14:paraId="57CDE66C">
      <w:pPr>
        <w:spacing w:line="560" w:lineRule="exact"/>
        <w:jc w:val="center"/>
        <w:rPr>
          <w:rFonts w:ascii="Times New Roman" w:hAnsi="Times New Roman" w:eastAsia="方正公文小标宋" w:cs="Times New Roman"/>
          <w:sz w:val="44"/>
          <w:szCs w:val="36"/>
        </w:rPr>
      </w:pPr>
    </w:p>
    <w:p w14:paraId="0855E01A">
      <w:pPr>
        <w:spacing w:line="560" w:lineRule="exact"/>
        <w:jc w:val="center"/>
        <w:rPr>
          <w:rFonts w:ascii="Times New Roman" w:hAnsi="Times New Roman" w:eastAsia="方正公文小标宋" w:cs="Times New Roman"/>
          <w:sz w:val="44"/>
          <w:szCs w:val="36"/>
        </w:rPr>
      </w:pPr>
    </w:p>
    <w:p w14:paraId="7C22F6D5">
      <w:pPr>
        <w:spacing w:line="560" w:lineRule="exact"/>
        <w:jc w:val="center"/>
        <w:rPr>
          <w:rFonts w:ascii="Times New Roman" w:hAnsi="Times New Roman" w:eastAsia="方正公文小标宋" w:cs="Times New Roman"/>
          <w:sz w:val="44"/>
          <w:szCs w:val="36"/>
        </w:rPr>
      </w:pPr>
    </w:p>
    <w:p w14:paraId="11407A95">
      <w:pPr>
        <w:spacing w:line="560" w:lineRule="exact"/>
        <w:jc w:val="center"/>
        <w:rPr>
          <w:rFonts w:ascii="Times New Roman" w:hAnsi="Times New Roman" w:eastAsia="方正公文小标宋" w:cs="Times New Roman"/>
          <w:sz w:val="44"/>
          <w:szCs w:val="36"/>
        </w:rPr>
      </w:pPr>
    </w:p>
    <w:p w14:paraId="436FB2FA">
      <w:pPr>
        <w:spacing w:line="560" w:lineRule="exact"/>
        <w:jc w:val="center"/>
        <w:rPr>
          <w:rFonts w:ascii="Times New Roman" w:hAnsi="Times New Roman" w:eastAsia="方正公文小标宋" w:cs="Times New Roman"/>
          <w:sz w:val="44"/>
          <w:szCs w:val="36"/>
        </w:rPr>
      </w:pPr>
    </w:p>
    <w:p w14:paraId="50BF90DF">
      <w:pPr>
        <w:spacing w:line="560" w:lineRule="exact"/>
        <w:jc w:val="center"/>
        <w:rPr>
          <w:rFonts w:ascii="Times New Roman" w:hAnsi="Times New Roman" w:eastAsia="方正公文小标宋" w:cs="Times New Roman"/>
          <w:sz w:val="44"/>
          <w:szCs w:val="36"/>
        </w:rPr>
      </w:pPr>
    </w:p>
    <w:p w14:paraId="5136AC1B">
      <w:pPr>
        <w:spacing w:line="560" w:lineRule="exact"/>
        <w:ind w:firstLine="0" w:firstLineChars="0"/>
        <w:jc w:val="center"/>
        <w:rPr>
          <w:rFonts w:hint="eastAsia" w:ascii="仿宋_GB2312" w:hAnsi="Times New Roman" w:eastAsia="仿宋_GB2312" w:cs="Times New Roman"/>
        </w:rPr>
      </w:pPr>
      <w:r>
        <w:rPr>
          <w:rFonts w:hint="eastAsia" w:ascii="仿宋_GB2312" w:hAnsi="Times New Roman" w:eastAsia="仿宋_GB2312" w:cs="Times New Roman"/>
        </w:rPr>
        <w:t>2025年7月</w:t>
      </w:r>
    </w:p>
    <w:p w14:paraId="0A69FDD3">
      <w:pPr>
        <w:spacing w:line="560" w:lineRule="exact"/>
        <w:ind w:firstLine="0" w:firstLineChars="0"/>
        <w:jc w:val="center"/>
        <w:rPr>
          <w:rFonts w:ascii="Times New Roman" w:hAnsi="Times New Roman" w:cs="Times New Roman"/>
        </w:rPr>
      </w:pPr>
      <w:r>
        <w:rPr>
          <w:rFonts w:hint="eastAsia" w:ascii="仿宋_GB2312" w:hAnsi="Times New Roman" w:eastAsia="仿宋_GB2312" w:cs="Times New Roman"/>
        </w:rPr>
        <w:t>团体标准起草工作组</w:t>
      </w:r>
      <w:r>
        <w:rPr>
          <w:rFonts w:ascii="Times New Roman" w:hAnsi="Times New Roman" w:cs="Times New Roman"/>
        </w:rPr>
        <w:br w:type="page"/>
      </w:r>
    </w:p>
    <w:p w14:paraId="44587CF2">
      <w:pPr>
        <w:pStyle w:val="2"/>
        <w:ind w:left="640" w:firstLine="0" w:firstLineChars="0"/>
        <w:rPr>
          <w:rFonts w:hint="eastAsia" w:ascii="黑体" w:hAnsi="黑体" w:cs="Times New Roman"/>
          <w:szCs w:val="32"/>
        </w:rPr>
      </w:pPr>
      <w:bookmarkStart w:id="0" w:name="_Toc22603"/>
      <w:r>
        <w:rPr>
          <w:rFonts w:ascii="黑体" w:hAnsi="黑体" w:cs="Times New Roman"/>
          <w:szCs w:val="32"/>
        </w:rPr>
        <w:t>一、</w:t>
      </w:r>
      <w:r>
        <w:rPr>
          <w:rFonts w:hint="eastAsia" w:ascii="黑体" w:hAnsi="黑体" w:cs="Times New Roman"/>
          <w:szCs w:val="32"/>
        </w:rPr>
        <w:t>制定标准目的</w:t>
      </w:r>
      <w:bookmarkEnd w:id="0"/>
    </w:p>
    <w:p w14:paraId="38B2F736">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当前，模块化建筑在欧美、新加坡，日本，我国香港等发达国家和地区得到大规模的推广应用，是装配式建筑发展的主要方向之一。现有高层模块化结构体系仅限于钢结构、混凝土结构。钢-混凝土组合模块化建筑将结构体系的钢构件部分放在工厂组装，“像造汽车一样造模块”，并集成围护、机电和装修系统，形成高集成度的模块化产品；运输至工地现场装配后，将混凝土浇筑于钢模壳预留的构造空腔中，形成钢-混凝土组合结构，填补了模块化建筑领域的技术空白。该技术虽然可参考如《钢结构设计标准》、《组合结构设计规范》、《高层民用建筑钢结构技术规程》等现行国家、行业现行标准，但针对性和适用性不足，需针对该体系的特点及具体构造做法、生产与施工验收阶段的注意事项等作明确规定。为在广州市范围内推广应用该技术体系，为设计、生产、施工及工程验收提供依据，促进工业化、模块化建筑的高质量发展，特申请制定此标准。</w:t>
      </w:r>
    </w:p>
    <w:p w14:paraId="1040E8E7">
      <w:pPr>
        <w:pStyle w:val="2"/>
        <w:ind w:left="640" w:firstLine="0" w:firstLineChars="0"/>
        <w:rPr>
          <w:rFonts w:hint="eastAsia" w:ascii="黑体" w:hAnsi="黑体" w:cs="Times New Roman"/>
          <w:szCs w:val="32"/>
        </w:rPr>
      </w:pPr>
      <w:bookmarkStart w:id="1" w:name="_Toc28623"/>
      <w:r>
        <w:rPr>
          <w:rFonts w:hint="eastAsia" w:ascii="黑体" w:hAnsi="黑体" w:cs="Times New Roman"/>
          <w:szCs w:val="32"/>
        </w:rPr>
        <w:t>二、制定标准意义</w:t>
      </w:r>
      <w:bookmarkEnd w:id="1"/>
    </w:p>
    <w:p w14:paraId="50A0684E">
      <w:pPr>
        <w:ind w:firstLine="640"/>
        <w:jc w:val="left"/>
        <w:rPr>
          <w:rFonts w:hint="eastAsia" w:ascii="仿宋_GB2312" w:hAnsi="Times New Roman" w:eastAsia="仿宋_GB2312" w:cs="Times New Roman"/>
          <w:szCs w:val="32"/>
        </w:rPr>
      </w:pPr>
      <w:r>
        <w:rPr>
          <w:rFonts w:hint="eastAsia" w:ascii="仿宋_GB2312" w:hAnsi="Times New Roman" w:eastAsia="仿宋_GB2312" w:cs="Times New Roman"/>
          <w:szCs w:val="32"/>
        </w:rPr>
        <w:t>近年来，由于人力资源短缺、建筑业工业化程度低、施工周期长、建筑质量不高等一系列问题的出现，十三五期间国家及地方政府大力推广装配式建筑。十四五以来，2020年全国新开工装配式建筑共计6.3亿m</w:t>
      </w:r>
      <w:r>
        <w:rPr>
          <w:rFonts w:hint="eastAsia" w:ascii="仿宋_GB2312" w:hAnsi="Times New Roman" w:eastAsia="仿宋_GB2312" w:cs="Times New Roman"/>
          <w:szCs w:val="32"/>
          <w:vertAlign w:val="superscript"/>
        </w:rPr>
        <w:t>2</w:t>
      </w:r>
      <w:r>
        <w:rPr>
          <w:rFonts w:hint="eastAsia" w:ascii="仿宋_GB2312" w:hAnsi="Times New Roman" w:eastAsia="仿宋_GB2312" w:cs="Times New Roman"/>
          <w:szCs w:val="32"/>
        </w:rPr>
        <w:t>，占新建建筑面积的比例约为20.5%。2022年2月，住建部表示要大力发展装配式建筑，培育一批装配式建筑生产基地，提升建筑工业化水平，提出力争到 2025年，新建装配式建筑占比达到30%以上。各地区持续出台了装配式建筑发展政策文件及扶持政策。</w:t>
      </w:r>
    </w:p>
    <w:p w14:paraId="1D99791A">
      <w:pPr>
        <w:ind w:firstLine="640"/>
        <w:jc w:val="left"/>
        <w:rPr>
          <w:rFonts w:hint="eastAsia" w:ascii="仿宋_GB2312" w:hAnsi="Times New Roman" w:eastAsia="仿宋_GB2312" w:cs="Times New Roman"/>
          <w:szCs w:val="32"/>
        </w:rPr>
      </w:pPr>
      <w:r>
        <w:rPr>
          <w:rFonts w:hint="eastAsia" w:ascii="仿宋_GB2312" w:hAnsi="Times New Roman" w:eastAsia="仿宋_GB2312" w:cs="Times New Roman"/>
          <w:szCs w:val="32"/>
        </w:rPr>
        <w:t>剪力墙结构、框架-剪力墙结构是多高层住宅建筑中主要的结构受力体系。装配式混凝土剪力墙体系因套筒灌浆技术结构连接做法较复杂，现场吊装构件数量多，水平和竖向连接节点处工程量较大，施工效率较低，施工速度普遍为5-10天/层，施工精度要求高，相应对工人的技术水平要求高，内、外装修施工在结构施工完成后进行，用时多、工程量大，总体来说目前相较现浇混凝土剪力墙体系成本增量较高、工期未缩短、人工有节约。</w:t>
      </w:r>
    </w:p>
    <w:p w14:paraId="5A336F89">
      <w:pPr>
        <w:ind w:firstLine="640"/>
        <w:jc w:val="left"/>
        <w:rPr>
          <w:rFonts w:hint="eastAsia" w:ascii="仿宋_GB2312" w:hAnsi="Times New Roman" w:eastAsia="仿宋_GB2312" w:cs="Times New Roman"/>
          <w:szCs w:val="32"/>
        </w:rPr>
      </w:pPr>
      <w:r>
        <w:rPr>
          <w:rFonts w:hint="eastAsia" w:ascii="仿宋_GB2312" w:hAnsi="Times New Roman" w:eastAsia="仿宋_GB2312" w:cs="Times New Roman"/>
          <w:szCs w:val="32"/>
        </w:rPr>
        <w:t>模块化建筑在美国、英国、德国、日本、新加坡、香港等国家和地区已经有较长时间的应用历史，其主要特点是将建筑的主要部分放在工厂完成，现场仅需简单的安装连接就可以形成整体建筑，具有现场建造速度快、劳动力成本节约、工业化集成度高等优势，是实现建筑工业化及智能建造的理想载体。</w:t>
      </w:r>
    </w:p>
    <w:p w14:paraId="2815DDB5">
      <w:pPr>
        <w:ind w:firstLine="640"/>
        <w:jc w:val="left"/>
        <w:rPr>
          <w:rFonts w:hint="eastAsia" w:ascii="仿宋_GB2312" w:hAnsi="Times New Roman" w:eastAsia="仿宋_GB2312" w:cs="Times New Roman"/>
          <w:szCs w:val="32"/>
        </w:rPr>
      </w:pPr>
      <w:r>
        <w:rPr>
          <w:rFonts w:hint="eastAsia" w:ascii="仿宋_GB2312" w:hAnsi="Times New Roman" w:eastAsia="仿宋_GB2312" w:cs="Times New Roman"/>
          <w:szCs w:val="32"/>
        </w:rPr>
        <w:t>模块化建筑的结构主体形式，目前主要有钢结构模块和混凝土模块两种。前者主要用于酒店、学校等；后者主要用于住宅。国内中国建筑国际、中建科工、中建科技、广州建筑、远大住工等企业均开发了相关技术和产品，形成了一定生产能力并开展了示范应用。其中，钢结构模块主要存在着成本较高、适用高度受限、使用功能不适用于住宅等问题，混凝土模块主要存在生产的智能化程度不高、运输吊装成本较高、现场仍需要较多钢筋绑扎、模板和混凝土浇筑作业等问题，成本也较高。</w:t>
      </w:r>
    </w:p>
    <w:p w14:paraId="4AB1AE1E">
      <w:pPr>
        <w:ind w:firstLine="640"/>
        <w:jc w:val="left"/>
        <w:rPr>
          <w:rFonts w:hint="eastAsia" w:ascii="仿宋_GB2312" w:hAnsi="Times New Roman" w:eastAsia="仿宋_GB2312" w:cs="Times New Roman"/>
          <w:szCs w:val="32"/>
        </w:rPr>
      </w:pPr>
      <w:r>
        <w:rPr>
          <w:rFonts w:hint="eastAsia" w:ascii="仿宋_GB2312" w:hAnsi="Times New Roman" w:eastAsia="仿宋_GB2312" w:cs="Times New Roman"/>
          <w:szCs w:val="32"/>
        </w:rPr>
        <w:t>针对以上问题，中建科技集团有限公司近年研发了钢-混凝土组合模块建筑体系，竖向结构采用钢-混凝土组合剪力墙结构体系，墙体参与结构受力的同时也提供了浇筑混凝土免支撑模板的作用，楼板采用免拆底模免（少）支撑钢筋桁架楼承板。设计初期根据建筑使用功能合理优化建筑的开间和进深，将建筑每层按房间和使用功能拆分为六面体或五面体（墙+顶板+底板）标准模块单元，采用模块化的手段将剪力墙的钢构件部分、钢筋桁架楼承板的预制部分、建筑面层的预制部分提取出来，在工厂完成拼装，形成模块单元自受力体系，可同时附带建筑门窗、外墙的外饰面、飘窗、阳台，卫生间、内部隔墙、大部分的地面、顶面及墙面装修，机电管线等内外装饰装修部品部件，施工现场仅需进行模块吊装、混凝土浇筑工程，取消全部或大部分小构件吊装、脚手架与施工支撑架设工作、钢结构焊接、螺栓连接工作、混凝土模板支设、钢筋绑扎与焊接工作，内外装饰装修工程的现场作业也大幅度减少。相比于现有钢模块技术，由于以组合结构受力为主，用钢量减少且造价节约；结构整体性好，适用高度可与现浇混凝土结构一致。与预制混凝土模块相比，更有利于在工厂实现模块的智能制造，且模块轻，运输吊装方便。该技术已经在深圳和广州地区完成示范项目建设，效果良好，综合工期节约50%，成本较钢集成模块或混凝土集成模块有明显优势，与传统建造方式接近，具有较好的推广应用前景。制定该标准对推广钢-混凝土组合模块化建筑体系在广州市的落地应用，带动我市装配式、工业化、智能化建筑行业的发展，具有重要意义。</w:t>
      </w:r>
    </w:p>
    <w:p w14:paraId="350D78AE">
      <w:pPr>
        <w:pStyle w:val="2"/>
        <w:ind w:left="640" w:firstLine="0" w:firstLineChars="0"/>
        <w:rPr>
          <w:rFonts w:hint="eastAsia" w:ascii="黑体" w:hAnsi="黑体" w:cs="Times New Roman"/>
          <w:szCs w:val="32"/>
        </w:rPr>
      </w:pPr>
      <w:bookmarkStart w:id="2" w:name="_Toc10200"/>
      <w:r>
        <w:rPr>
          <w:rFonts w:hint="eastAsia" w:ascii="黑体" w:hAnsi="黑体" w:cs="Times New Roman"/>
          <w:szCs w:val="32"/>
        </w:rPr>
        <w:t>三、制定标准必要性</w:t>
      </w:r>
      <w:bookmarkEnd w:id="2"/>
    </w:p>
    <w:p w14:paraId="0CCBAE44">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广州市积极响应国家及广东省关于智能建造与建筑工业化的相关政策，积极推进以钢-混凝土组合模块化建筑等为代表的技术体系研发与项目落地应用工作。在此过程中，建设、设计、施工、生产、监理等相关单位亟需相应标准作为实施依据。制定本标准对于推动我市智能建造与建筑工业化领域的事业更好更快发展、解决实施过程中暴露出的技术与管理难点具有必要性。</w:t>
      </w:r>
    </w:p>
    <w:p w14:paraId="5DCE70FD">
      <w:pPr>
        <w:pStyle w:val="2"/>
        <w:ind w:left="640" w:firstLine="0" w:firstLineChars="0"/>
        <w:rPr>
          <w:rFonts w:hint="eastAsia" w:ascii="黑体" w:hAnsi="黑体" w:cs="Times New Roman"/>
          <w:szCs w:val="32"/>
        </w:rPr>
      </w:pPr>
      <w:bookmarkStart w:id="3" w:name="_Toc9457"/>
      <w:r>
        <w:rPr>
          <w:rFonts w:hint="eastAsia" w:ascii="黑体" w:hAnsi="黑体" w:cs="Times New Roman"/>
          <w:szCs w:val="32"/>
        </w:rPr>
        <w:t>四、编制过程</w:t>
      </w:r>
      <w:bookmarkEnd w:id="3"/>
    </w:p>
    <w:p w14:paraId="3ABC72C1">
      <w:pPr>
        <w:ind w:firstLine="643"/>
        <w:rPr>
          <w:rFonts w:hint="eastAsia" w:ascii="仿宋_GB2312" w:hAnsi="Times New Roman" w:eastAsia="仿宋_GB2312" w:cs="Times New Roman"/>
          <w:b/>
          <w:szCs w:val="32"/>
        </w:rPr>
      </w:pPr>
      <w:r>
        <w:rPr>
          <w:rFonts w:hint="eastAsia" w:ascii="仿宋_GB2312" w:hAnsi="Times New Roman" w:eastAsia="仿宋_GB2312" w:cs="Times New Roman"/>
          <w:b/>
          <w:szCs w:val="32"/>
        </w:rPr>
        <w:t>（一）立项阶段</w:t>
      </w:r>
    </w:p>
    <w:p w14:paraId="353886AE">
      <w:pPr>
        <w:ind w:firstLine="643"/>
        <w:rPr>
          <w:rFonts w:hint="eastAsia" w:ascii="仿宋_GB2312" w:hAnsi="Times New Roman" w:eastAsia="仿宋_GB2312" w:cs="Times New Roman"/>
          <w:b/>
          <w:szCs w:val="32"/>
        </w:rPr>
      </w:pPr>
      <w:r>
        <w:rPr>
          <w:rFonts w:hint="eastAsia" w:ascii="仿宋_GB2312" w:hAnsi="Times New Roman" w:eastAsia="仿宋_GB2312" w:cs="Times New Roman"/>
          <w:b/>
          <w:szCs w:val="32"/>
        </w:rPr>
        <w:t>（二）起草阶段</w:t>
      </w:r>
    </w:p>
    <w:p w14:paraId="4B469BF0">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1.成立标准起草工作组：</w:t>
      </w:r>
    </w:p>
    <w:p w14:paraId="430A4754">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2.形成标准草案：</w:t>
      </w:r>
    </w:p>
    <w:p w14:paraId="3D35ED23">
      <w:pPr>
        <w:ind w:firstLine="643"/>
        <w:rPr>
          <w:rFonts w:hint="eastAsia" w:ascii="仿宋_GB2312" w:hAnsi="Times New Roman" w:eastAsia="仿宋_GB2312" w:cs="Times New Roman"/>
          <w:b/>
          <w:szCs w:val="32"/>
        </w:rPr>
      </w:pPr>
      <w:r>
        <w:rPr>
          <w:rFonts w:hint="eastAsia" w:ascii="仿宋_GB2312" w:hAnsi="Times New Roman" w:eastAsia="仿宋_GB2312" w:cs="Times New Roman"/>
          <w:b/>
          <w:szCs w:val="32"/>
        </w:rPr>
        <w:t>（三）征求意见阶段</w:t>
      </w:r>
    </w:p>
    <w:p w14:paraId="06307A63">
      <w:pPr>
        <w:ind w:firstLine="643"/>
        <w:rPr>
          <w:rFonts w:hint="eastAsia" w:ascii="仿宋_GB2312" w:hAnsi="Times New Roman" w:eastAsia="仿宋_GB2312" w:cs="Times New Roman"/>
          <w:b/>
          <w:szCs w:val="32"/>
        </w:rPr>
      </w:pPr>
      <w:r>
        <w:rPr>
          <w:rFonts w:hint="eastAsia" w:ascii="仿宋_GB2312" w:hAnsi="Times New Roman" w:eastAsia="仿宋_GB2312" w:cs="Times New Roman"/>
          <w:b/>
          <w:szCs w:val="32"/>
        </w:rPr>
        <w:t>（四）审核修改阶段</w:t>
      </w:r>
    </w:p>
    <w:p w14:paraId="25029A54">
      <w:pPr>
        <w:ind w:firstLine="643"/>
        <w:rPr>
          <w:rFonts w:hint="eastAsia" w:ascii="仿宋_GB2312" w:hAnsi="Times New Roman" w:eastAsia="仿宋_GB2312" w:cs="Times New Roman"/>
          <w:b/>
          <w:szCs w:val="32"/>
        </w:rPr>
      </w:pPr>
      <w:r>
        <w:rPr>
          <w:rFonts w:hint="eastAsia" w:ascii="仿宋_GB2312" w:hAnsi="Times New Roman" w:eastAsia="仿宋_GB2312" w:cs="Times New Roman"/>
          <w:b/>
          <w:szCs w:val="32"/>
        </w:rPr>
        <w:t>（五）正式发布阶段</w:t>
      </w:r>
    </w:p>
    <w:p w14:paraId="4E587E50">
      <w:pPr>
        <w:pStyle w:val="2"/>
        <w:ind w:left="640" w:firstLine="0" w:firstLineChars="0"/>
        <w:rPr>
          <w:rFonts w:hint="eastAsia" w:ascii="黑体" w:hAnsi="黑体" w:cs="Times New Roman"/>
          <w:szCs w:val="32"/>
        </w:rPr>
      </w:pPr>
      <w:bookmarkStart w:id="4" w:name="_Toc6968"/>
      <w:r>
        <w:rPr>
          <w:rFonts w:hint="eastAsia" w:ascii="黑体" w:hAnsi="黑体" w:cs="Times New Roman"/>
          <w:szCs w:val="32"/>
        </w:rPr>
        <w:t>五、标准主要内容</w:t>
      </w:r>
      <w:bookmarkEnd w:id="4"/>
    </w:p>
    <w:p w14:paraId="6249561D">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本标准适用于采用钢-混凝土组合模块化民用建筑的设计、生产、施工、验收与维护等。</w:t>
      </w:r>
    </w:p>
    <w:p w14:paraId="5A7E9B87">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拟编制标准的主要技术内容包括以下12章：</w:t>
      </w:r>
    </w:p>
    <w:p w14:paraId="5B2F7265">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前言</w:t>
      </w:r>
    </w:p>
    <w:p w14:paraId="4425F8C4">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   总则</w:t>
      </w:r>
    </w:p>
    <w:p w14:paraId="4495E89A">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2   术语和符号</w:t>
      </w:r>
      <w:r>
        <w:rPr>
          <w:rFonts w:hint="eastAsia" w:ascii="仿宋_GB2312" w:hAnsi="Times New Roman" w:eastAsia="仿宋_GB2312" w:cs="Times New Roman"/>
          <w:szCs w:val="32"/>
        </w:rPr>
        <w:tab/>
      </w:r>
    </w:p>
    <w:p w14:paraId="0027D39A">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2.1 术语</w:t>
      </w:r>
    </w:p>
    <w:p w14:paraId="41305A37">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2.2 符号</w:t>
      </w:r>
    </w:p>
    <w:p w14:paraId="2D76D179">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3   基本规定</w:t>
      </w:r>
    </w:p>
    <w:p w14:paraId="04F4DE4B">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4   材料</w:t>
      </w:r>
    </w:p>
    <w:p w14:paraId="761B9D41">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5.1 一般规定</w:t>
      </w:r>
      <w:r>
        <w:rPr>
          <w:rFonts w:hint="eastAsia" w:ascii="仿宋_GB2312" w:hAnsi="Times New Roman" w:eastAsia="仿宋_GB2312" w:cs="Times New Roman"/>
          <w:szCs w:val="32"/>
        </w:rPr>
        <w:tab/>
      </w:r>
    </w:p>
    <w:p w14:paraId="09453AAA">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5.2 平面、立面设计</w:t>
      </w:r>
    </w:p>
    <w:p w14:paraId="09B13BA2">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5.3 建筑构造</w:t>
      </w:r>
      <w:r>
        <w:rPr>
          <w:rFonts w:hint="eastAsia" w:ascii="仿宋_GB2312" w:hAnsi="Times New Roman" w:eastAsia="仿宋_GB2312" w:cs="Times New Roman"/>
          <w:szCs w:val="32"/>
        </w:rPr>
        <w:tab/>
      </w:r>
    </w:p>
    <w:p w14:paraId="6CF4F343">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6   结构设计</w:t>
      </w:r>
    </w:p>
    <w:p w14:paraId="67A47AF8">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6.1 一般规定</w:t>
      </w:r>
      <w:r>
        <w:rPr>
          <w:rFonts w:hint="eastAsia" w:ascii="仿宋_GB2312" w:hAnsi="Times New Roman" w:eastAsia="仿宋_GB2312" w:cs="Times New Roman"/>
          <w:szCs w:val="32"/>
        </w:rPr>
        <w:tab/>
      </w:r>
    </w:p>
    <w:p w14:paraId="40F68403">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6.2 结构分析</w:t>
      </w:r>
      <w:r>
        <w:rPr>
          <w:rFonts w:hint="eastAsia" w:ascii="仿宋_GB2312" w:hAnsi="Times New Roman" w:eastAsia="仿宋_GB2312" w:cs="Times New Roman"/>
          <w:szCs w:val="32"/>
        </w:rPr>
        <w:tab/>
      </w:r>
    </w:p>
    <w:p w14:paraId="563C2BBB">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6.3 构件设计</w:t>
      </w:r>
    </w:p>
    <w:p w14:paraId="3FE652F0">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6.4 节点及接缝设计</w:t>
      </w:r>
    </w:p>
    <w:p w14:paraId="70076118">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6.5 模块单元设计</w:t>
      </w:r>
    </w:p>
    <w:p w14:paraId="3C9ADF68">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6.6 耐火设计</w:t>
      </w:r>
      <w:r>
        <w:rPr>
          <w:rFonts w:hint="eastAsia" w:ascii="仿宋_GB2312" w:hAnsi="Times New Roman" w:eastAsia="仿宋_GB2312" w:cs="Times New Roman"/>
          <w:szCs w:val="32"/>
        </w:rPr>
        <w:tab/>
      </w:r>
    </w:p>
    <w:p w14:paraId="60EAC688">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6.7 防腐设计</w:t>
      </w:r>
      <w:r>
        <w:rPr>
          <w:rFonts w:hint="eastAsia" w:ascii="仿宋_GB2312" w:hAnsi="Times New Roman" w:eastAsia="仿宋_GB2312" w:cs="Times New Roman"/>
          <w:szCs w:val="32"/>
        </w:rPr>
        <w:tab/>
      </w:r>
    </w:p>
    <w:p w14:paraId="66E4B4AF">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7   内装与设备管线系统设计</w:t>
      </w:r>
    </w:p>
    <w:p w14:paraId="311E9136">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7.1 一般规定</w:t>
      </w:r>
      <w:r>
        <w:rPr>
          <w:rFonts w:hint="eastAsia" w:ascii="仿宋_GB2312" w:hAnsi="Times New Roman" w:eastAsia="仿宋_GB2312" w:cs="Times New Roman"/>
          <w:szCs w:val="32"/>
        </w:rPr>
        <w:tab/>
      </w:r>
    </w:p>
    <w:p w14:paraId="61F2D4AF">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7.2 内装系统</w:t>
      </w:r>
      <w:r>
        <w:rPr>
          <w:rFonts w:hint="eastAsia" w:ascii="仿宋_GB2312" w:hAnsi="Times New Roman" w:eastAsia="仿宋_GB2312" w:cs="Times New Roman"/>
          <w:szCs w:val="32"/>
        </w:rPr>
        <w:tab/>
      </w:r>
    </w:p>
    <w:p w14:paraId="493CD197">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7.3 设备管线系统</w:t>
      </w:r>
    </w:p>
    <w:p w14:paraId="1C528927">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8   模块单元生产及运输</w:t>
      </w:r>
      <w:r>
        <w:rPr>
          <w:rFonts w:hint="eastAsia" w:ascii="仿宋_GB2312" w:hAnsi="Times New Roman" w:eastAsia="仿宋_GB2312" w:cs="Times New Roman"/>
          <w:szCs w:val="32"/>
        </w:rPr>
        <w:tab/>
      </w:r>
    </w:p>
    <w:p w14:paraId="004304B7">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8.1 一般规定</w:t>
      </w:r>
      <w:r>
        <w:rPr>
          <w:rFonts w:hint="eastAsia" w:ascii="仿宋_GB2312" w:hAnsi="Times New Roman" w:eastAsia="仿宋_GB2312" w:cs="Times New Roman"/>
          <w:szCs w:val="32"/>
        </w:rPr>
        <w:tab/>
      </w:r>
    </w:p>
    <w:p w14:paraId="5A19E023">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8.2 模块组装</w:t>
      </w:r>
      <w:r>
        <w:rPr>
          <w:rFonts w:hint="eastAsia" w:ascii="仿宋_GB2312" w:hAnsi="Times New Roman" w:eastAsia="仿宋_GB2312" w:cs="Times New Roman"/>
          <w:szCs w:val="32"/>
        </w:rPr>
        <w:tab/>
      </w:r>
    </w:p>
    <w:p w14:paraId="203326CC">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8.3 成品检验</w:t>
      </w:r>
      <w:r>
        <w:rPr>
          <w:rFonts w:hint="eastAsia" w:ascii="仿宋_GB2312" w:hAnsi="Times New Roman" w:eastAsia="仿宋_GB2312" w:cs="Times New Roman"/>
          <w:szCs w:val="32"/>
        </w:rPr>
        <w:tab/>
      </w:r>
    </w:p>
    <w:p w14:paraId="35642778">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8.4 运输和成品保护</w:t>
      </w:r>
    </w:p>
    <w:p w14:paraId="3F32242A">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9   施工安装</w:t>
      </w:r>
    </w:p>
    <w:p w14:paraId="41D0F144">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9.1 一般规定</w:t>
      </w:r>
      <w:r>
        <w:rPr>
          <w:rFonts w:hint="eastAsia" w:ascii="仿宋_GB2312" w:hAnsi="Times New Roman" w:eastAsia="仿宋_GB2312" w:cs="Times New Roman"/>
          <w:szCs w:val="32"/>
        </w:rPr>
        <w:tab/>
      </w:r>
    </w:p>
    <w:p w14:paraId="6E2DC59C">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9.2 施工准备</w:t>
      </w:r>
      <w:r>
        <w:rPr>
          <w:rFonts w:hint="eastAsia" w:ascii="仿宋_GB2312" w:hAnsi="Times New Roman" w:eastAsia="仿宋_GB2312" w:cs="Times New Roman"/>
          <w:szCs w:val="32"/>
        </w:rPr>
        <w:tab/>
      </w:r>
    </w:p>
    <w:p w14:paraId="53657B1D">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9.3  模块安装</w:t>
      </w:r>
    </w:p>
    <w:p w14:paraId="2D0233C9">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9.4  模块连接及混凝土浇筑</w:t>
      </w:r>
      <w:r>
        <w:rPr>
          <w:rFonts w:hint="eastAsia" w:ascii="仿宋_GB2312" w:hAnsi="Times New Roman" w:eastAsia="仿宋_GB2312" w:cs="Times New Roman"/>
          <w:szCs w:val="32"/>
        </w:rPr>
        <w:tab/>
      </w:r>
    </w:p>
    <w:p w14:paraId="4DA04253">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9.5  外围护及内装机电系统施工</w:t>
      </w:r>
    </w:p>
    <w:p w14:paraId="35566600">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10   质量验收</w:t>
      </w:r>
    </w:p>
    <w:p w14:paraId="7BFF3B11">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10.1 一般规定</w:t>
      </w:r>
    </w:p>
    <w:p w14:paraId="2E3025FE">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10.2 进场验收</w:t>
      </w:r>
    </w:p>
    <w:p w14:paraId="26E0FD99">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10.3 模块单元安装与连接</w:t>
      </w:r>
    </w:p>
    <w:p w14:paraId="0C7A3ECC">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10.4 设备管线安装</w:t>
      </w:r>
      <w:r>
        <w:rPr>
          <w:rFonts w:hint="eastAsia" w:ascii="仿宋_GB2312" w:hAnsi="Times New Roman" w:eastAsia="仿宋_GB2312" w:cs="Times New Roman"/>
          <w:szCs w:val="32"/>
        </w:rPr>
        <w:tab/>
      </w:r>
    </w:p>
    <w:p w14:paraId="3B4851C2">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10.5 饰面层接缝安装</w:t>
      </w:r>
      <w:r>
        <w:rPr>
          <w:rFonts w:hint="eastAsia" w:ascii="仿宋_GB2312" w:hAnsi="Times New Roman" w:eastAsia="仿宋_GB2312" w:cs="Times New Roman"/>
          <w:szCs w:val="32"/>
        </w:rPr>
        <w:tab/>
      </w:r>
    </w:p>
    <w:p w14:paraId="6549AE5D">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10.6 实体检验</w:t>
      </w:r>
    </w:p>
    <w:p w14:paraId="56BF46AB">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11  智能建造</w:t>
      </w:r>
    </w:p>
    <w:p w14:paraId="3E49643F">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12  使用及维护</w:t>
      </w:r>
      <w:r>
        <w:rPr>
          <w:rFonts w:hint="eastAsia" w:ascii="仿宋_GB2312" w:hAnsi="Times New Roman" w:eastAsia="仿宋_GB2312" w:cs="Times New Roman"/>
          <w:szCs w:val="32"/>
        </w:rPr>
        <w:tab/>
      </w:r>
    </w:p>
    <w:p w14:paraId="08A65FDB">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附录</w:t>
      </w:r>
    </w:p>
    <w:p w14:paraId="213ABF43">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本标准用词说明</w:t>
      </w:r>
      <w:r>
        <w:rPr>
          <w:rFonts w:hint="eastAsia" w:ascii="仿宋_GB2312" w:hAnsi="Times New Roman" w:eastAsia="仿宋_GB2312" w:cs="Times New Roman"/>
          <w:szCs w:val="32"/>
        </w:rPr>
        <w:tab/>
      </w:r>
    </w:p>
    <w:p w14:paraId="59B01D98">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引用标准目录</w:t>
      </w:r>
    </w:p>
    <w:p w14:paraId="204A233B">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条文说明</w:t>
      </w:r>
    </w:p>
    <w:p w14:paraId="33F493D6">
      <w:pPr>
        <w:pStyle w:val="2"/>
        <w:ind w:left="640" w:firstLine="0" w:firstLineChars="0"/>
        <w:rPr>
          <w:rFonts w:hint="eastAsia" w:ascii="黑体" w:hAnsi="黑体" w:cs="Times New Roman"/>
          <w:szCs w:val="32"/>
        </w:rPr>
      </w:pPr>
      <w:bookmarkStart w:id="5" w:name="_Toc18634"/>
      <w:r>
        <w:rPr>
          <w:rFonts w:hint="eastAsia" w:ascii="黑体" w:hAnsi="黑体" w:cs="Times New Roman"/>
          <w:szCs w:val="32"/>
        </w:rPr>
        <w:t>六、标准参考的文献资料</w:t>
      </w:r>
      <w:bookmarkEnd w:id="5"/>
    </w:p>
    <w:p w14:paraId="180C7106">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《钢结构设计标准》GB50017</w:t>
      </w:r>
    </w:p>
    <w:p w14:paraId="07EC8A0C">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《钢结构结构施工质量验收规范》GB50205</w:t>
      </w:r>
    </w:p>
    <w:p w14:paraId="6028ADFD">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《钢结构施工规范》GB50755</w:t>
      </w:r>
    </w:p>
    <w:p w14:paraId="3285530C">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《钢管混凝土结构技术规范》GB 50936</w:t>
      </w:r>
    </w:p>
    <w:p w14:paraId="4577F743">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《装配式钢结构建筑技术标准》GB/T51232</w:t>
      </w:r>
    </w:p>
    <w:p w14:paraId="09D208AD">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《矩形钢管混凝土结构技术规程》CECS159</w:t>
      </w:r>
    </w:p>
    <w:p w14:paraId="79D1BE76">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《组合结构设计规范》JGJ138</w:t>
      </w:r>
    </w:p>
    <w:p w14:paraId="6C930EE6">
      <w:pPr>
        <w:ind w:firstLine="0" w:firstLineChars="0"/>
        <w:rPr>
          <w:rFonts w:hint="eastAsia" w:ascii="仿宋_GB2312" w:hAnsi="Times New Roman" w:eastAsia="仿宋_GB2312" w:cs="Times New Roman"/>
          <w:szCs w:val="32"/>
        </w:rPr>
      </w:pPr>
      <w:r>
        <w:rPr>
          <w:rFonts w:hint="eastAsia" w:ascii="仿宋_GB2312" w:hAnsi="Times New Roman" w:eastAsia="仿宋_GB2312" w:cs="Times New Roman"/>
          <w:szCs w:val="32"/>
        </w:rPr>
        <w:t>等</w:t>
      </w:r>
    </w:p>
    <w:p w14:paraId="5460D2D0">
      <w:pPr>
        <w:pStyle w:val="2"/>
        <w:ind w:firstLine="640"/>
        <w:rPr>
          <w:rFonts w:hint="eastAsia" w:ascii="仿宋_GB2312" w:hAnsi="Times New Roman" w:eastAsia="仿宋_GB2312" w:cs="Times New Roman"/>
          <w:szCs w:val="32"/>
        </w:rPr>
      </w:pPr>
      <w:bookmarkStart w:id="6" w:name="_Toc11401"/>
      <w:r>
        <w:rPr>
          <w:rFonts w:hint="eastAsia" w:ascii="黑体" w:hAnsi="黑体" w:cs="Times New Roman"/>
          <w:szCs w:val="32"/>
        </w:rPr>
        <w:t>七、标准中涉及专利的情</w:t>
      </w:r>
      <w:r>
        <w:rPr>
          <w:rFonts w:hint="eastAsia" w:ascii="仿宋_GB2312" w:hAnsi="Times New Roman" w:eastAsia="仿宋_GB2312" w:cs="Times New Roman"/>
          <w:szCs w:val="32"/>
        </w:rPr>
        <w:t>况</w:t>
      </w:r>
      <w:bookmarkEnd w:id="6"/>
    </w:p>
    <w:p w14:paraId="2B717548">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本标准涉及中建科技集团有限公司（专利权人）的钢-混凝土组合剪力墙结构的模块单元、建筑及建造方法 专利，专利权人同意在公平、合理、无歧视基础上，免费许可任何单位或者个人在实施该标准时实施其专利。</w:t>
      </w:r>
    </w:p>
    <w:p w14:paraId="533DF006">
      <w:pPr>
        <w:pStyle w:val="2"/>
        <w:ind w:firstLine="640"/>
        <w:rPr>
          <w:rFonts w:hint="eastAsia" w:ascii="仿宋_GB2312" w:hAnsi="Times New Roman" w:eastAsia="仿宋_GB2312" w:cs="Times New Roman"/>
          <w:szCs w:val="32"/>
        </w:rPr>
      </w:pPr>
      <w:bookmarkStart w:id="7" w:name="_Toc7273"/>
      <w:r>
        <w:rPr>
          <w:rFonts w:hint="eastAsia" w:ascii="黑体" w:hAnsi="黑体" w:cs="Times New Roman"/>
          <w:szCs w:val="32"/>
        </w:rPr>
        <w:t>八、与现行法律法规、强制性国家标准及相关标准协调配套情况</w:t>
      </w:r>
      <w:bookmarkEnd w:id="7"/>
    </w:p>
    <w:p w14:paraId="7C181E70">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该标准中的基本要求，包括主要材料、结构的安全性和耐久性要求、防腐及防火要求、抗震设计要求等，施工和验收的基本要求等应满足现行国家标准中的规定，包括所有全文强制标准以及相关国家和行业标准，如：《混凝土结构设计标准》GB 50010、《建筑抗震设计规范》GB 50011、《高层建筑混凝土结构技术规程》JGJ 3、《钢结构设计标准》GB 50017、《组合结构设计规范》JGJ 138、《装配式混凝土结构技术规程》JGJ 1、《装配式钢结构建筑技术标准》GB/T 51232、《钢管混凝土结构技术规范》GB 50936、《钢结构工程施工规范》GB 50755、《钢结构结构施工质量验收规范》GB 50205、《混凝土结构工程施工规范》GB 50666、《混凝土结构工程施工质量验收规范》GB 50204、《钢-混凝土组合结构施工规范》GB 50901等。</w:t>
      </w:r>
    </w:p>
    <w:p w14:paraId="7CBA5AF5">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由于该体系中的构件和节点构造、生产和施工方式均具有创新性，暂时无国家标准、行业标准或地方标准有详细的规定。</w:t>
      </w:r>
    </w:p>
    <w:p w14:paraId="628FA36B">
      <w:pPr>
        <w:pStyle w:val="2"/>
        <w:ind w:left="640" w:firstLine="0" w:firstLineChars="0"/>
        <w:rPr>
          <w:rFonts w:hint="eastAsia" w:ascii="黑体" w:hAnsi="黑体" w:cs="Times New Roman"/>
          <w:szCs w:val="32"/>
        </w:rPr>
      </w:pPr>
      <w:bookmarkStart w:id="8" w:name="_Toc18147"/>
      <w:r>
        <w:rPr>
          <w:rFonts w:hint="eastAsia" w:ascii="黑体" w:hAnsi="黑体" w:cs="Times New Roman"/>
          <w:szCs w:val="32"/>
        </w:rPr>
        <w:t>九、重大分歧意见的处理经过和依据</w:t>
      </w:r>
      <w:bookmarkEnd w:id="8"/>
      <w:bookmarkStart w:id="9" w:name="_Toc14034"/>
    </w:p>
    <w:p w14:paraId="2CACA0D7">
      <w:pPr>
        <w:ind w:firstLine="640"/>
        <w:rPr>
          <w:rFonts w:hint="eastAsia" w:ascii="仿宋_GB2312" w:eastAsia="仿宋_GB2312"/>
          <w:szCs w:val="32"/>
        </w:rPr>
      </w:pPr>
      <w:r>
        <w:rPr>
          <w:rFonts w:hint="eastAsia" w:ascii="仿宋_GB2312" w:eastAsia="仿宋_GB2312"/>
          <w:szCs w:val="32"/>
        </w:rPr>
        <w:t>无</w:t>
      </w:r>
    </w:p>
    <w:p w14:paraId="4CF67DB8">
      <w:pPr>
        <w:pStyle w:val="2"/>
        <w:numPr>
          <w:ilvl w:val="0"/>
          <w:numId w:val="1"/>
        </w:numPr>
        <w:ind w:firstLineChars="0"/>
        <w:rPr>
          <w:rFonts w:hint="eastAsia" w:ascii="黑体" w:hAnsi="黑体" w:cs="Times New Roman"/>
          <w:szCs w:val="32"/>
        </w:rPr>
      </w:pPr>
      <w:r>
        <w:rPr>
          <w:rFonts w:hint="eastAsia" w:ascii="黑体" w:hAnsi="黑体" w:cs="Times New Roman"/>
          <w:szCs w:val="32"/>
        </w:rPr>
        <w:t>标准性质的建议说明</w:t>
      </w:r>
      <w:bookmarkEnd w:id="9"/>
    </w:p>
    <w:p w14:paraId="5847AE3B">
      <w:pPr>
        <w:ind w:firstLine="640"/>
        <w:rPr>
          <w:rFonts w:hint="eastAsia" w:ascii="仿宋_GB2312" w:eastAsia="仿宋_GB2312"/>
          <w:szCs w:val="32"/>
        </w:rPr>
      </w:pPr>
      <w:r>
        <w:rPr>
          <w:rFonts w:hint="eastAsia" w:ascii="仿宋_GB2312" w:eastAsia="仿宋_GB2312"/>
          <w:szCs w:val="32"/>
        </w:rPr>
        <w:t>无</w:t>
      </w:r>
    </w:p>
    <w:p w14:paraId="5BA5B57C">
      <w:pPr>
        <w:pStyle w:val="2"/>
        <w:ind w:firstLine="480" w:firstLineChars="150"/>
        <w:rPr>
          <w:rFonts w:hint="eastAsia" w:ascii="黑体" w:hAnsi="黑体" w:cs="Times New Roman"/>
          <w:szCs w:val="32"/>
        </w:rPr>
      </w:pPr>
      <w:bookmarkStart w:id="10" w:name="_Toc16349"/>
      <w:r>
        <w:rPr>
          <w:rFonts w:hint="eastAsia" w:ascii="黑体" w:hAnsi="黑体" w:cs="Times New Roman"/>
          <w:szCs w:val="32"/>
        </w:rPr>
        <w:t>十一、贯彻标准的要求和措施建议</w:t>
      </w:r>
      <w:bookmarkEnd w:id="10"/>
    </w:p>
    <w:p w14:paraId="301CDD9D">
      <w:pPr>
        <w:ind w:firstLine="640"/>
        <w:rPr>
          <w:rFonts w:hint="eastAsia" w:ascii="仿宋_GB2312" w:eastAsia="仿宋_GB2312"/>
          <w:szCs w:val="32"/>
        </w:rPr>
      </w:pPr>
      <w:r>
        <w:rPr>
          <w:rFonts w:hint="eastAsia" w:ascii="仿宋_GB2312" w:hAnsi="Times New Roman" w:eastAsia="仿宋_GB2312" w:cs="Times New Roman"/>
          <w:szCs w:val="32"/>
        </w:rPr>
        <w:t>无</w:t>
      </w:r>
    </w:p>
    <w:p w14:paraId="0EB10BA0">
      <w:pPr>
        <w:pStyle w:val="2"/>
        <w:ind w:left="640" w:firstLine="0" w:firstLineChars="0"/>
        <w:rPr>
          <w:rFonts w:hint="eastAsia" w:ascii="黑体" w:hAnsi="黑体" w:cs="Times New Roman"/>
          <w:szCs w:val="32"/>
        </w:rPr>
      </w:pPr>
      <w:bookmarkStart w:id="11" w:name="_Toc25954"/>
      <w:r>
        <w:rPr>
          <w:rFonts w:hint="eastAsia" w:ascii="黑体" w:hAnsi="黑体" w:cs="Times New Roman"/>
          <w:szCs w:val="32"/>
        </w:rPr>
        <w:t>十二、废止现行相关标准的建议</w:t>
      </w:r>
      <w:bookmarkEnd w:id="11"/>
    </w:p>
    <w:p w14:paraId="3821A56D">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无</w:t>
      </w:r>
    </w:p>
    <w:p w14:paraId="2ABCF043">
      <w:pPr>
        <w:pStyle w:val="2"/>
        <w:ind w:left="640" w:firstLine="0" w:firstLineChars="0"/>
        <w:rPr>
          <w:rFonts w:hint="eastAsia" w:ascii="黑体" w:hAnsi="黑体" w:cs="Times New Roman"/>
          <w:szCs w:val="32"/>
        </w:rPr>
      </w:pPr>
      <w:bookmarkStart w:id="12" w:name="_Toc4438"/>
      <w:r>
        <w:rPr>
          <w:rFonts w:hint="eastAsia" w:ascii="黑体" w:hAnsi="黑体" w:cs="Times New Roman"/>
          <w:szCs w:val="32"/>
        </w:rPr>
        <w:t>十三、其他应予说明的事项</w:t>
      </w:r>
      <w:bookmarkEnd w:id="12"/>
    </w:p>
    <w:p w14:paraId="6AC19424">
      <w:pPr>
        <w:ind w:firstLine="640"/>
        <w:rPr>
          <w:rFonts w:hint="eastAsia" w:ascii="仿宋_GB2312" w:hAnsi="Times New Roman" w:eastAsia="仿宋_GB2312" w:cs="Times New Roman"/>
          <w:szCs w:val="32"/>
        </w:rPr>
      </w:pPr>
      <w:r>
        <w:rPr>
          <w:rFonts w:hint="eastAsia" w:ascii="仿宋_GB2312" w:hAnsi="Times New Roman" w:eastAsia="仿宋_GB2312" w:cs="Times New Roman"/>
          <w:szCs w:val="32"/>
        </w:rPr>
        <w:t>无</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1E302E-8AA8-427E-AE91-C2019FAA225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43" w:usb2="00000009" w:usb3="00000000" w:csb0="400001FF" w:csb1="FFFF0000"/>
  </w:font>
  <w:font w:name="方正公文小标宋">
    <w:panose1 w:val="02000500000000000000"/>
    <w:charset w:val="86"/>
    <w:family w:val="auto"/>
    <w:pitch w:val="default"/>
    <w:sig w:usb0="A00002BF" w:usb1="38CF7CFA" w:usb2="00000016" w:usb3="00000000" w:csb0="00040001" w:csb1="00000000"/>
    <w:embedRegular r:id="rId2" w:fontKey="{2F542859-59A9-4536-8497-BA8447C740A8}"/>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E8BEF37F-E4C9-4456-BC3C-F02420C458D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807B9">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74CF1">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14A1E">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4B2DF">
    <w:pPr>
      <w:pStyle w:val="4"/>
      <w:pBdr>
        <w:bottom w:val="none" w:color="auto" w:sz="0" w:space="1"/>
      </w:pBdr>
      <w:ind w:left="0" w:leftChars="0"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A2069">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9328A">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9B7342"/>
    <w:multiLevelType w:val="multilevel"/>
    <w:tmpl w:val="0E9B7342"/>
    <w:lvl w:ilvl="0" w:tentative="0">
      <w:start w:val="10"/>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21550"/>
    <w:rsid w:val="00121550"/>
    <w:rsid w:val="004672B9"/>
    <w:rsid w:val="00674B62"/>
    <w:rsid w:val="01286DB2"/>
    <w:rsid w:val="063539E9"/>
    <w:rsid w:val="15325C06"/>
    <w:rsid w:val="17613B4B"/>
    <w:rsid w:val="1B5F1BBD"/>
    <w:rsid w:val="1BB32A31"/>
    <w:rsid w:val="1DA66071"/>
    <w:rsid w:val="2D0A773C"/>
    <w:rsid w:val="2FA63C12"/>
    <w:rsid w:val="3DE47B36"/>
    <w:rsid w:val="425B6384"/>
    <w:rsid w:val="46342B72"/>
    <w:rsid w:val="4A6267B4"/>
    <w:rsid w:val="4C645AB0"/>
    <w:rsid w:val="5060129E"/>
    <w:rsid w:val="51C63AAC"/>
    <w:rsid w:val="52F16D74"/>
    <w:rsid w:val="53AB2D17"/>
    <w:rsid w:val="5D99157F"/>
    <w:rsid w:val="5F7A2ECC"/>
    <w:rsid w:val="63194529"/>
    <w:rsid w:val="64EF509C"/>
    <w:rsid w:val="65E01801"/>
    <w:rsid w:val="6A3A2DB5"/>
    <w:rsid w:val="710C4C28"/>
    <w:rsid w:val="7A083C89"/>
    <w:rsid w:val="7F1B7F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0" w:firstLineChars="200"/>
      <w:jc w:val="both"/>
    </w:pPr>
    <w:rPr>
      <w:rFonts w:eastAsia="仿宋" w:asciiTheme="minorHAnsi" w:hAnsiTheme="minorHAnsi" w:cstheme="minorBidi"/>
      <w:kern w:val="2"/>
      <w:sz w:val="32"/>
      <w:szCs w:val="24"/>
      <w:lang w:val="en-US" w:eastAsia="zh-CN" w:bidi="ar-SA"/>
    </w:rPr>
  </w:style>
  <w:style w:type="paragraph" w:styleId="2">
    <w:name w:val="heading 2"/>
    <w:basedOn w:val="1"/>
    <w:next w:val="1"/>
    <w:unhideWhenUsed/>
    <w:qFormat/>
    <w:uiPriority w:val="0"/>
    <w:pPr>
      <w:keepNext/>
      <w:keepLines/>
      <w:outlineLvl w:val="1"/>
    </w:pPr>
    <w:rPr>
      <w:rFonts w:ascii="Arial" w:hAnsi="Arial" w:eastAsia="黑体"/>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0"/>
    <w:pPr>
      <w:ind w:firstLine="0" w:firstLineChars="0"/>
    </w:p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paragraph" w:customStyle="1" w:styleId="10">
    <w:name w:val="WPSOffice手动目录 1"/>
    <w:qFormat/>
    <w:uiPriority w:val="0"/>
    <w:rPr>
      <w:rFonts w:ascii="Times New Roman" w:hAnsi="Times New Roman" w:eastAsia="宋体" w:cs="Times New Roman"/>
      <w:lang w:val="en-US" w:eastAsia="zh-CN" w:bidi="ar-SA"/>
    </w:rPr>
  </w:style>
  <w:style w:type="character" w:customStyle="1" w:styleId="11">
    <w:name w:val="页眉 Char"/>
    <w:basedOn w:val="8"/>
    <w:link w:val="4"/>
    <w:uiPriority w:val="0"/>
    <w:rPr>
      <w:rFonts w:eastAsia="仿宋" w:asciiTheme="minorHAnsi" w:hAnsiTheme="minorHAnsi" w:cstheme="minorBidi"/>
      <w:kern w:val="2"/>
      <w:sz w:val="18"/>
      <w:szCs w:val="18"/>
    </w:rPr>
  </w:style>
  <w:style w:type="character" w:customStyle="1" w:styleId="12">
    <w:name w:val="页脚 Char"/>
    <w:basedOn w:val="8"/>
    <w:link w:val="3"/>
    <w:uiPriority w:val="0"/>
    <w:rPr>
      <w:rFonts w:eastAsia="仿宋"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3063</Words>
  <Characters>3263</Characters>
  <Lines>3</Lines>
  <Paragraphs>6</Paragraphs>
  <TotalTime>24</TotalTime>
  <ScaleCrop>false</ScaleCrop>
  <LinksUpToDate>false</LinksUpToDate>
  <CharactersWithSpaces>3363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2025-01-19T03:08:00Z</dcterms:created>
  <dc:creator>子豪</dc:creator>
  <cp:lastModifiedBy>Y。</cp:lastModifiedBy>
  <cp:lastPrinted>2025-01-20T06:18:00Z</cp:lastPrinted>
  <dcterms:modified xsi:type="dcterms:W3CDTF">2025-07-23T03:35:42Z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eyJoZGlkIjoiMDEyODc1NmM0MDdiNDVlMzlkNjE3NmQ3Y2VkNmQzYTIiLCJ1c2VySWQiOiIzMjcwMDI1OTAifQ==</vt:lpwstr>
  </property>
  <property fmtid="{D5CDD505-2E9C-101B-9397-08002B2CF9AE}" pid="4" name="ICV">
    <vt:lpwstr>5C5810D3712241EF9FF0EB1E7F0817E4_13</vt:lpwstr>
  </property>
</Properties>
</file>